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35D1" w14:textId="138CDA89" w:rsidR="00BB3B39" w:rsidRPr="006F6F91" w:rsidRDefault="00BB3B39" w:rsidP="00BB3B39">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8E2D34" w:rsidRPr="008E2D34">
        <w:rPr>
          <w:rFonts w:ascii="Arial" w:hAnsi="Arial" w:cs="Arial"/>
          <w:b/>
          <w:bCs/>
        </w:rPr>
        <w:t>R1-2207316</w:t>
      </w:r>
    </w:p>
    <w:p w14:paraId="1F447F59" w14:textId="77777777" w:rsidR="00BB3B39" w:rsidRPr="006F6F91" w:rsidRDefault="00BB3B39" w:rsidP="00BB3B39">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4BCFED65"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8032AF">
        <w:rPr>
          <w:rFonts w:ascii="Arial" w:hAnsi="Arial" w:cs="Arial"/>
          <w:b/>
          <w:lang w:val="en-US"/>
        </w:rPr>
        <w:t>6</w:t>
      </w:r>
      <w:r w:rsidR="00BA782E">
        <w:rPr>
          <w:rFonts w:ascii="Arial" w:hAnsi="Arial" w:cs="Arial"/>
          <w:b/>
          <w:lang w:val="en-US"/>
        </w:rPr>
        <w:t>.</w:t>
      </w:r>
      <w:r w:rsidR="003E31CC">
        <w:rPr>
          <w:rFonts w:ascii="Arial" w:hAnsi="Arial" w:cs="Arial"/>
          <w:b/>
          <w:lang w:val="en-US"/>
        </w:rPr>
        <w:t>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278FD1E1"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B3B39" w:rsidRPr="00BB3B39">
        <w:rPr>
          <w:rFonts w:ascii="Arial" w:hAnsi="Arial" w:cs="Arial"/>
          <w:b/>
          <w:lang w:val="en-US"/>
        </w:rPr>
        <w:t>On Rel-17 NR coverage enhancement 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6CD6D316"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NR coverage enhancement</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62E26D15" w14:textId="378155D1" w:rsidR="00E21FBB" w:rsidRDefault="00E21FBB" w:rsidP="000640B4">
      <w:pPr>
        <w:spacing w:before="120" w:after="120"/>
        <w:rPr>
          <w:color w:val="000000"/>
          <w:sz w:val="20"/>
          <w:szCs w:val="20"/>
          <w:lang w:val="en-US"/>
        </w:rPr>
      </w:pPr>
      <w:r w:rsidRPr="00E21FBB">
        <w:rPr>
          <w:color w:val="000000"/>
          <w:sz w:val="20"/>
          <w:szCs w:val="20"/>
          <w:lang w:val="en-US"/>
        </w:rPr>
        <w:t xml:space="preserve">From </w:t>
      </w:r>
      <w:r>
        <w:rPr>
          <w:color w:val="000000"/>
          <w:sz w:val="20"/>
          <w:szCs w:val="20"/>
          <w:lang w:val="en-US"/>
        </w:rPr>
        <w:t>last RAN1 meeting, one left issue for coverage enhancement UE feature is the report granularity of DMRS bundling sub-feature. According to RAN4 incoming LS on DMRS bundling</w:t>
      </w:r>
      <w:r w:rsidR="00731088">
        <w:rPr>
          <w:color w:val="000000"/>
          <w:sz w:val="20"/>
          <w:szCs w:val="20"/>
          <w:lang w:val="en-US"/>
        </w:rPr>
        <w:t xml:space="preserve"> [2]</w:t>
      </w:r>
      <w:r>
        <w:rPr>
          <w:color w:val="000000"/>
          <w:sz w:val="20"/>
          <w:szCs w:val="20"/>
          <w:lang w:val="en-US"/>
        </w:rPr>
        <w:t xml:space="preserve">, RAN4 agreed </w:t>
      </w:r>
      <w:r w:rsidR="005356DB">
        <w:rPr>
          <w:color w:val="000000"/>
          <w:sz w:val="20"/>
          <w:szCs w:val="20"/>
          <w:lang w:val="en-US"/>
        </w:rPr>
        <w:t xml:space="preserve">the following cases for </w:t>
      </w:r>
      <w:r>
        <w:rPr>
          <w:color w:val="000000"/>
          <w:sz w:val="20"/>
          <w:szCs w:val="20"/>
          <w:lang w:val="en-US"/>
        </w:rPr>
        <w:t>CA/DC with DMRS bundling</w:t>
      </w:r>
      <w:r w:rsidR="005356DB">
        <w:rPr>
          <w:color w:val="000000"/>
          <w:sz w:val="20"/>
          <w:szCs w:val="20"/>
          <w:lang w:val="en-US"/>
        </w:rPr>
        <w:t>.</w:t>
      </w:r>
    </w:p>
    <w:p w14:paraId="4869FDBC" w14:textId="77777777" w:rsidR="005356DB" w:rsidRPr="005356DB" w:rsidRDefault="005356DB" w:rsidP="005356DB">
      <w:pPr>
        <w:numPr>
          <w:ilvl w:val="0"/>
          <w:numId w:val="32"/>
        </w:numPr>
        <w:spacing w:before="120" w:after="120"/>
        <w:rPr>
          <w:bCs/>
          <w:iCs/>
          <w:color w:val="000000"/>
          <w:sz w:val="20"/>
          <w:szCs w:val="20"/>
          <w:lang w:val="en-US"/>
        </w:rPr>
      </w:pPr>
      <w:r w:rsidRPr="005356DB">
        <w:rPr>
          <w:bCs/>
          <w:iCs/>
          <w:color w:val="000000"/>
          <w:sz w:val="20"/>
          <w:szCs w:val="20"/>
          <w:lang w:val="en-US"/>
        </w:rPr>
        <w:t xml:space="preserve">FR1+FR2 </w:t>
      </w:r>
      <w:r w:rsidRPr="005356DB">
        <w:rPr>
          <w:rFonts w:hint="eastAsia"/>
          <w:bCs/>
          <w:iCs/>
          <w:color w:val="000000"/>
          <w:sz w:val="20"/>
          <w:szCs w:val="20"/>
          <w:lang w:val="en-US"/>
        </w:rPr>
        <w:t xml:space="preserve">UL </w:t>
      </w:r>
      <w:r w:rsidRPr="005356DB">
        <w:rPr>
          <w:bCs/>
          <w:iCs/>
          <w:color w:val="000000"/>
          <w:sz w:val="20"/>
          <w:szCs w:val="20"/>
          <w:lang w:val="en-US"/>
        </w:rPr>
        <w:t xml:space="preserve">CA, FR1+FR2 DC, and EN-DC with NR on FR2. </w:t>
      </w:r>
      <w:r w:rsidRPr="005356DB">
        <w:rPr>
          <w:color w:val="000000"/>
          <w:sz w:val="20"/>
          <w:szCs w:val="20"/>
          <w:lang w:val="en-GB"/>
        </w:rPr>
        <w:t xml:space="preserve">DMRS bundling configuration is limited to one uplink </w:t>
      </w:r>
      <w:r w:rsidRPr="005356DB">
        <w:rPr>
          <w:rFonts w:hint="eastAsia"/>
          <w:color w:val="000000"/>
          <w:sz w:val="20"/>
          <w:szCs w:val="20"/>
          <w:lang w:val="en-GB"/>
        </w:rPr>
        <w:t xml:space="preserve">NR </w:t>
      </w:r>
      <w:r w:rsidRPr="005356DB">
        <w:rPr>
          <w:color w:val="000000"/>
          <w:sz w:val="20"/>
          <w:szCs w:val="20"/>
          <w:lang w:val="en-GB"/>
        </w:rPr>
        <w:t>carrier in total on all FRs</w:t>
      </w:r>
      <w:r w:rsidRPr="005356DB">
        <w:rPr>
          <w:rFonts w:hint="eastAsia"/>
          <w:color w:val="000000"/>
          <w:sz w:val="20"/>
          <w:szCs w:val="20"/>
          <w:lang w:val="en-GB"/>
        </w:rPr>
        <w:t xml:space="preserve"> at a time.</w:t>
      </w:r>
    </w:p>
    <w:p w14:paraId="2537E061" w14:textId="77777777" w:rsidR="005356DB" w:rsidRPr="005356DB" w:rsidRDefault="005356DB" w:rsidP="005356DB">
      <w:pPr>
        <w:numPr>
          <w:ilvl w:val="0"/>
          <w:numId w:val="32"/>
        </w:numPr>
        <w:spacing w:before="120" w:after="120"/>
        <w:rPr>
          <w:bCs/>
          <w:iCs/>
          <w:color w:val="000000"/>
          <w:sz w:val="20"/>
          <w:szCs w:val="20"/>
          <w:lang w:val="en-US"/>
        </w:rPr>
      </w:pPr>
      <w:r w:rsidRPr="005356DB">
        <w:rPr>
          <w:color w:val="000000"/>
          <w:sz w:val="20"/>
          <w:szCs w:val="20"/>
          <w:lang w:val="en-GB"/>
        </w:rPr>
        <w:t>FR1 inter-band DL CA with a “single” uplink band configured, meaning no switching to transmit SRS on another carrier.</w:t>
      </w:r>
    </w:p>
    <w:p w14:paraId="1C82D5CA" w14:textId="50A69BD1" w:rsidR="005356DB" w:rsidRDefault="00594F64" w:rsidP="000640B4">
      <w:pPr>
        <w:spacing w:before="120" w:after="120"/>
        <w:rPr>
          <w:color w:val="000000"/>
          <w:sz w:val="20"/>
          <w:szCs w:val="20"/>
          <w:lang w:val="en-US"/>
        </w:rPr>
      </w:pPr>
      <w:r>
        <w:rPr>
          <w:color w:val="000000"/>
          <w:sz w:val="20"/>
          <w:szCs w:val="20"/>
          <w:lang w:val="en-US"/>
        </w:rPr>
        <w:t xml:space="preserve">In addition, </w:t>
      </w:r>
      <w:r w:rsidR="005356DB">
        <w:rPr>
          <w:color w:val="000000"/>
          <w:sz w:val="20"/>
          <w:szCs w:val="20"/>
          <w:lang w:val="en-US"/>
        </w:rPr>
        <w:t>RAN4 asked any RAN1 specification impacts if the below cases are to be supported.</w:t>
      </w:r>
    </w:p>
    <w:p w14:paraId="6E5A00A7" w14:textId="60DF4C9B" w:rsidR="005356DB" w:rsidRDefault="002E6B92" w:rsidP="00E21FBB">
      <w:pPr>
        <w:pStyle w:val="ListParagraph"/>
        <w:numPr>
          <w:ilvl w:val="0"/>
          <w:numId w:val="31"/>
        </w:numPr>
        <w:spacing w:before="120" w:after="120"/>
        <w:rPr>
          <w:color w:val="000000"/>
          <w:sz w:val="20"/>
          <w:szCs w:val="20"/>
          <w:lang w:val="en-US"/>
        </w:rPr>
      </w:pPr>
      <w:r>
        <w:rPr>
          <w:color w:val="000000"/>
          <w:sz w:val="20"/>
          <w:szCs w:val="20"/>
          <w:lang w:val="en-US"/>
        </w:rPr>
        <w:t>FR1 inter-band UL CA</w:t>
      </w:r>
      <w:r w:rsidR="005356DB">
        <w:rPr>
          <w:color w:val="000000"/>
          <w:sz w:val="20"/>
          <w:szCs w:val="20"/>
          <w:lang w:val="en-US"/>
        </w:rPr>
        <w:t xml:space="preserve"> with DMRS bundling</w:t>
      </w:r>
    </w:p>
    <w:p w14:paraId="58482D9F" w14:textId="6D770794" w:rsidR="00E21FBB" w:rsidRDefault="002E6B92" w:rsidP="00E21FBB">
      <w:pPr>
        <w:pStyle w:val="ListParagraph"/>
        <w:numPr>
          <w:ilvl w:val="0"/>
          <w:numId w:val="31"/>
        </w:numPr>
        <w:spacing w:before="120" w:after="120"/>
        <w:rPr>
          <w:color w:val="000000"/>
          <w:sz w:val="20"/>
          <w:szCs w:val="20"/>
          <w:lang w:val="en-US"/>
        </w:rPr>
      </w:pPr>
      <w:r>
        <w:rPr>
          <w:color w:val="000000"/>
          <w:sz w:val="20"/>
          <w:szCs w:val="20"/>
          <w:lang w:val="en-US"/>
        </w:rPr>
        <w:t>SUL</w:t>
      </w:r>
      <w:r w:rsidR="005356DB">
        <w:rPr>
          <w:color w:val="000000"/>
          <w:sz w:val="20"/>
          <w:szCs w:val="20"/>
          <w:lang w:val="en-US"/>
        </w:rPr>
        <w:t xml:space="preserve"> with DMR bundling</w:t>
      </w:r>
    </w:p>
    <w:p w14:paraId="1DAF3271" w14:textId="62F943B2" w:rsidR="002E6B92" w:rsidRPr="00E21FBB" w:rsidRDefault="005E7C5D" w:rsidP="00E21FBB">
      <w:pPr>
        <w:pStyle w:val="ListParagraph"/>
        <w:numPr>
          <w:ilvl w:val="0"/>
          <w:numId w:val="31"/>
        </w:numPr>
        <w:spacing w:before="120" w:after="120"/>
        <w:rPr>
          <w:color w:val="000000"/>
          <w:sz w:val="20"/>
          <w:szCs w:val="20"/>
          <w:lang w:val="en-US"/>
        </w:rPr>
      </w:pPr>
      <w:r>
        <w:rPr>
          <w:bCs/>
          <w:iCs/>
          <w:sz w:val="20"/>
          <w:szCs w:val="20"/>
          <w:lang w:val="en-US"/>
        </w:rPr>
        <w:t xml:space="preserve">DL CA with SRS </w:t>
      </w:r>
      <w:r w:rsidR="003B179A">
        <w:rPr>
          <w:bCs/>
          <w:iCs/>
          <w:sz w:val="20"/>
          <w:szCs w:val="20"/>
          <w:lang w:val="en-US"/>
        </w:rPr>
        <w:t xml:space="preserve">carrier </w:t>
      </w:r>
      <w:r>
        <w:rPr>
          <w:bCs/>
          <w:iCs/>
          <w:sz w:val="20"/>
          <w:szCs w:val="20"/>
          <w:lang w:val="en-US"/>
        </w:rPr>
        <w:t>switching</w:t>
      </w:r>
    </w:p>
    <w:p w14:paraId="77CEAE7C" w14:textId="3A7B77E2" w:rsidR="00913142" w:rsidRDefault="005356DB" w:rsidP="000640B4">
      <w:pPr>
        <w:spacing w:before="120" w:after="120"/>
        <w:rPr>
          <w:color w:val="000000"/>
          <w:sz w:val="20"/>
          <w:szCs w:val="20"/>
          <w:lang w:val="en-US"/>
        </w:rPr>
      </w:pPr>
      <w:r>
        <w:rPr>
          <w:color w:val="000000"/>
          <w:sz w:val="20"/>
          <w:szCs w:val="20"/>
          <w:lang w:val="en-US"/>
        </w:rPr>
        <w:t>RAN4</w:t>
      </w:r>
      <w:r w:rsidR="001A50EE">
        <w:rPr>
          <w:color w:val="000000"/>
          <w:sz w:val="20"/>
          <w:szCs w:val="20"/>
          <w:lang w:val="en-US"/>
        </w:rPr>
        <w:t xml:space="preserve"> </w:t>
      </w:r>
      <w:r w:rsidR="00913142">
        <w:rPr>
          <w:color w:val="000000"/>
          <w:sz w:val="20"/>
          <w:szCs w:val="20"/>
          <w:lang w:val="en-US"/>
        </w:rPr>
        <w:t xml:space="preserve">only </w:t>
      </w:r>
      <w:r w:rsidR="001A50EE">
        <w:rPr>
          <w:color w:val="000000"/>
          <w:sz w:val="20"/>
          <w:szCs w:val="20"/>
          <w:lang w:val="en-US"/>
        </w:rPr>
        <w:t>agreed</w:t>
      </w:r>
      <w:r w:rsidR="005A5D40">
        <w:rPr>
          <w:color w:val="000000"/>
          <w:sz w:val="20"/>
          <w:szCs w:val="20"/>
          <w:lang w:val="en-US"/>
        </w:rPr>
        <w:t xml:space="preserve"> </w:t>
      </w:r>
      <w:r w:rsidR="005A5D40">
        <w:rPr>
          <w:color w:val="000000"/>
          <w:sz w:val="20"/>
          <w:szCs w:val="20"/>
          <w:lang w:val="en-US"/>
        </w:rPr>
        <w:t>CA/DC</w:t>
      </w:r>
      <w:r w:rsidR="001A50EE">
        <w:rPr>
          <w:color w:val="000000"/>
          <w:sz w:val="20"/>
          <w:szCs w:val="20"/>
          <w:lang w:val="en-US"/>
        </w:rPr>
        <w:t xml:space="preserve"> </w:t>
      </w:r>
      <w:r w:rsidR="005A5D40">
        <w:rPr>
          <w:color w:val="000000"/>
          <w:sz w:val="20"/>
          <w:szCs w:val="20"/>
          <w:lang w:val="en-US"/>
        </w:rPr>
        <w:t xml:space="preserve">inter-operation with </w:t>
      </w:r>
      <w:r w:rsidR="001A50EE">
        <w:rPr>
          <w:color w:val="000000"/>
          <w:sz w:val="20"/>
          <w:szCs w:val="20"/>
          <w:lang w:val="en-US"/>
        </w:rPr>
        <w:t xml:space="preserve">DMRS bundling </w:t>
      </w:r>
      <w:r w:rsidR="005A5D40">
        <w:rPr>
          <w:color w:val="000000"/>
          <w:sz w:val="20"/>
          <w:szCs w:val="20"/>
          <w:lang w:val="en-US"/>
        </w:rPr>
        <w:t>in</w:t>
      </w:r>
      <w:r>
        <w:rPr>
          <w:color w:val="000000"/>
          <w:sz w:val="20"/>
          <w:szCs w:val="20"/>
          <w:lang w:val="en-US"/>
        </w:rPr>
        <w:t xml:space="preserve"> only one </w:t>
      </w:r>
      <w:r w:rsidR="005A5D40">
        <w:rPr>
          <w:color w:val="000000"/>
          <w:sz w:val="20"/>
          <w:szCs w:val="20"/>
          <w:lang w:val="en-US"/>
        </w:rPr>
        <w:t>band</w:t>
      </w:r>
      <w:r w:rsidR="00913142">
        <w:rPr>
          <w:color w:val="000000"/>
          <w:sz w:val="20"/>
          <w:szCs w:val="20"/>
          <w:lang w:val="en-US"/>
        </w:rPr>
        <w:t>. With this agreement, per band reporting the capa</w:t>
      </w:r>
      <w:r w:rsidR="009D7628">
        <w:rPr>
          <w:color w:val="000000"/>
          <w:sz w:val="20"/>
          <w:szCs w:val="20"/>
          <w:lang w:val="en-US"/>
        </w:rPr>
        <w:t xml:space="preserve">bility is enough. </w:t>
      </w:r>
    </w:p>
    <w:p w14:paraId="1E289596" w14:textId="04D9CF1A" w:rsidR="009D7628" w:rsidRDefault="005D30B2" w:rsidP="009D7628">
      <w:pPr>
        <w:spacing w:before="120" w:after="120"/>
        <w:rPr>
          <w:color w:val="000000"/>
          <w:sz w:val="20"/>
          <w:szCs w:val="20"/>
          <w:lang w:val="en-US"/>
        </w:rPr>
      </w:pPr>
      <w:r>
        <w:rPr>
          <w:color w:val="000000"/>
          <w:sz w:val="20"/>
          <w:szCs w:val="20"/>
          <w:lang w:val="en-US"/>
        </w:rPr>
        <w:t>On supporting</w:t>
      </w:r>
      <w:r w:rsidR="00913142">
        <w:rPr>
          <w:color w:val="000000"/>
          <w:sz w:val="20"/>
          <w:szCs w:val="20"/>
          <w:lang w:val="en-US"/>
        </w:rPr>
        <w:t xml:space="preserve"> UL CA with DMRS bundling</w:t>
      </w:r>
      <w:r w:rsidR="002F0513">
        <w:rPr>
          <w:color w:val="000000"/>
          <w:sz w:val="20"/>
          <w:szCs w:val="20"/>
          <w:lang w:val="en-US"/>
        </w:rPr>
        <w:t xml:space="preserve"> in FR1</w:t>
      </w:r>
      <w:r w:rsidR="00913142">
        <w:rPr>
          <w:color w:val="000000"/>
          <w:sz w:val="20"/>
          <w:szCs w:val="20"/>
          <w:lang w:val="en-US"/>
        </w:rPr>
        <w:t xml:space="preserve">, no conclusion was reached in RAN4. </w:t>
      </w:r>
      <w:r w:rsidR="009D7628">
        <w:rPr>
          <w:color w:val="000000"/>
          <w:sz w:val="20"/>
          <w:szCs w:val="20"/>
          <w:lang w:val="en-US"/>
        </w:rPr>
        <w:t>If a UE is configured with inter-band UL CA, normally one band is lower frequency band for coverage and another band is higher frequency band for capacity. If UE already has the coverage issue in lower band, then the quality of another link in higher band is poor. From this point, the first interpretation makes sense. And there is no motivation to configured two bands with DMRS bundling, and no motivation to configure UL CA for a coverage limited UE.</w:t>
      </w:r>
      <w:r w:rsidR="009D7628">
        <w:rPr>
          <w:color w:val="000000"/>
          <w:sz w:val="20"/>
          <w:szCs w:val="20"/>
          <w:lang w:val="en-US"/>
        </w:rPr>
        <w:t xml:space="preserve"> </w:t>
      </w:r>
    </w:p>
    <w:p w14:paraId="6AAA50DD" w14:textId="3E53F3F1" w:rsidR="00547FE7" w:rsidRPr="005F0EE2" w:rsidRDefault="00547FE7" w:rsidP="000640B4">
      <w:pPr>
        <w:spacing w:before="120" w:after="120"/>
        <w:rPr>
          <w:b/>
          <w:bCs/>
          <w:color w:val="000000"/>
          <w:sz w:val="20"/>
          <w:szCs w:val="20"/>
          <w:lang w:val="en-US"/>
        </w:rPr>
      </w:pPr>
      <w:r w:rsidRPr="00547FE7">
        <w:rPr>
          <w:b/>
          <w:bCs/>
          <w:color w:val="000000"/>
          <w:sz w:val="20"/>
          <w:szCs w:val="20"/>
          <w:lang w:val="en-US"/>
        </w:rPr>
        <w:t xml:space="preserve">Proposal 1: </w:t>
      </w:r>
      <w:r w:rsidR="005F0EE2">
        <w:rPr>
          <w:b/>
          <w:bCs/>
          <w:color w:val="000000"/>
          <w:sz w:val="20"/>
          <w:szCs w:val="20"/>
          <w:lang w:val="en-US"/>
        </w:rPr>
        <w:t>T</w:t>
      </w:r>
      <w:r>
        <w:rPr>
          <w:b/>
          <w:bCs/>
          <w:color w:val="000000"/>
          <w:sz w:val="20"/>
          <w:szCs w:val="20"/>
          <w:lang w:val="en-US"/>
        </w:rPr>
        <w:t xml:space="preserve">he report </w:t>
      </w:r>
      <w:r w:rsidR="005F0EE2">
        <w:rPr>
          <w:b/>
          <w:bCs/>
          <w:color w:val="000000"/>
          <w:sz w:val="20"/>
          <w:szCs w:val="20"/>
          <w:lang w:val="en-US"/>
        </w:rPr>
        <w:t>type of</w:t>
      </w:r>
      <w:r>
        <w:rPr>
          <w:b/>
          <w:bCs/>
          <w:color w:val="000000"/>
          <w:sz w:val="20"/>
          <w:szCs w:val="20"/>
          <w:lang w:val="en-US"/>
        </w:rPr>
        <w:t xml:space="preserve"> </w:t>
      </w:r>
      <w:r>
        <w:rPr>
          <w:rFonts w:eastAsia="SimSun"/>
          <w:b/>
          <w:bCs/>
          <w:color w:val="000000"/>
          <w:sz w:val="20"/>
          <w:szCs w:val="20"/>
        </w:rPr>
        <w:t>FGs 30-4a/b/c/d/e/f/g/h is per b</w:t>
      </w:r>
      <w:r w:rsidR="00913142">
        <w:rPr>
          <w:rFonts w:eastAsia="SimSun"/>
          <w:b/>
          <w:bCs/>
          <w:color w:val="000000"/>
          <w:sz w:val="20"/>
          <w:szCs w:val="20"/>
          <w:lang w:val="en-US"/>
        </w:rPr>
        <w:t>and</w:t>
      </w:r>
      <w:r>
        <w:rPr>
          <w:rFonts w:eastAsia="SimSun"/>
          <w:b/>
          <w:bCs/>
          <w:color w:val="000000"/>
          <w:sz w:val="20"/>
          <w:szCs w:val="20"/>
          <w:lang w:val="en-US"/>
        </w:rPr>
        <w:t>.</w:t>
      </w:r>
    </w:p>
    <w:p w14:paraId="3EFC0C19" w14:textId="3E1570FA" w:rsidR="006C362D" w:rsidRPr="007C5EE3" w:rsidRDefault="007C5EE3" w:rsidP="000640B4">
      <w:pPr>
        <w:spacing w:before="120" w:after="120"/>
        <w:rPr>
          <w:color w:val="000000"/>
          <w:sz w:val="20"/>
          <w:szCs w:val="20"/>
          <w:lang w:val="en-US"/>
        </w:rPr>
      </w:pPr>
      <w:r>
        <w:rPr>
          <w:color w:val="000000"/>
          <w:sz w:val="20"/>
          <w:szCs w:val="20"/>
          <w:lang w:val="en-US"/>
        </w:rPr>
        <w:t>Regarding</w:t>
      </w:r>
      <w:r w:rsidR="006C362D" w:rsidRPr="007C5EE3">
        <w:rPr>
          <w:color w:val="000000"/>
          <w:sz w:val="20"/>
          <w:szCs w:val="20"/>
          <w:lang w:val="en-US"/>
        </w:rPr>
        <w:t xml:space="preserve"> DMRS bundling feature differentiation,</w:t>
      </w:r>
      <w:r>
        <w:rPr>
          <w:color w:val="000000"/>
          <w:sz w:val="20"/>
          <w:szCs w:val="20"/>
          <w:lang w:val="en-US"/>
        </w:rPr>
        <w:t xml:space="preserve"> </w:t>
      </w:r>
      <w:r w:rsidR="006C362D" w:rsidRPr="007C5EE3">
        <w:rPr>
          <w:color w:val="000000"/>
          <w:sz w:val="20"/>
          <w:szCs w:val="20"/>
          <w:lang w:val="en-US"/>
        </w:rPr>
        <w:t>there is no clea</w:t>
      </w:r>
      <w:r>
        <w:rPr>
          <w:color w:val="000000"/>
          <w:sz w:val="20"/>
          <w:szCs w:val="20"/>
          <w:lang w:val="en-US"/>
        </w:rPr>
        <w:t xml:space="preserve">r </w:t>
      </w:r>
      <w:r w:rsidR="006C362D" w:rsidRPr="007C5EE3">
        <w:rPr>
          <w:color w:val="000000"/>
          <w:sz w:val="20"/>
          <w:szCs w:val="20"/>
          <w:lang w:val="en-US"/>
        </w:rPr>
        <w:t>difference between FR1 and FR2</w:t>
      </w:r>
      <w:r>
        <w:rPr>
          <w:color w:val="000000"/>
          <w:sz w:val="20"/>
          <w:szCs w:val="20"/>
          <w:lang w:val="en-US"/>
        </w:rPr>
        <w:t>,</w:t>
      </w:r>
      <w:r w:rsidR="006C362D" w:rsidRPr="007C5EE3">
        <w:rPr>
          <w:color w:val="000000"/>
          <w:sz w:val="20"/>
          <w:szCs w:val="20"/>
          <w:lang w:val="en-US"/>
        </w:rPr>
        <w:t xml:space="preserve"> TDD and FDD</w:t>
      </w:r>
      <w:r>
        <w:rPr>
          <w:color w:val="000000"/>
          <w:sz w:val="20"/>
          <w:szCs w:val="20"/>
          <w:lang w:val="en-US"/>
        </w:rPr>
        <w:t xml:space="preserve"> from implementation perspective. Thus, no differentiation is needed.</w:t>
      </w:r>
    </w:p>
    <w:p w14:paraId="63956464" w14:textId="06A9E67D" w:rsidR="008C5915" w:rsidRPr="006C362D" w:rsidRDefault="006C362D" w:rsidP="000640B4">
      <w:pPr>
        <w:spacing w:before="120" w:after="120"/>
        <w:rPr>
          <w:b/>
          <w:bCs/>
          <w:color w:val="000000"/>
          <w:sz w:val="20"/>
          <w:szCs w:val="20"/>
          <w:lang w:val="en-US"/>
        </w:rPr>
      </w:pPr>
      <w:r>
        <w:rPr>
          <w:b/>
          <w:bCs/>
          <w:color w:val="000000"/>
          <w:sz w:val="20"/>
          <w:szCs w:val="20"/>
          <w:lang w:val="en-US"/>
        </w:rPr>
        <w:t>Proposal2: No need to differentiate FDD/TDD and FR1/FR2 for FGs</w:t>
      </w:r>
      <w:r>
        <w:rPr>
          <w:rFonts w:eastAsia="SimSun"/>
          <w:b/>
          <w:bCs/>
          <w:color w:val="000000"/>
          <w:sz w:val="20"/>
          <w:szCs w:val="20"/>
        </w:rPr>
        <w:t>30-4a/b/c/d/e/f/g/h</w:t>
      </w:r>
      <w:r>
        <w:rPr>
          <w:rFonts w:eastAsia="SimSun"/>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3E9EC27C"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495407">
        <w:rPr>
          <w:rFonts w:eastAsia="MS Mincho"/>
          <w:sz w:val="20"/>
          <w:szCs w:val="20"/>
          <w:lang w:val="en-US" w:eastAsia="ja-JP"/>
        </w:rPr>
        <w:t xml:space="preserve">UL </w:t>
      </w:r>
      <w:r w:rsidR="00C744F7">
        <w:rPr>
          <w:rFonts w:eastAsia="MS Mincho"/>
          <w:sz w:val="20"/>
          <w:szCs w:val="20"/>
          <w:lang w:val="en-US" w:eastAsia="ja-JP"/>
        </w:rPr>
        <w:t xml:space="preserve">coverage </w:t>
      </w:r>
      <w:r w:rsidR="00495407">
        <w:rPr>
          <w:rFonts w:eastAsia="MS Mincho"/>
          <w:sz w:val="20"/>
          <w:szCs w:val="20"/>
          <w:lang w:val="en-US" w:eastAsia="ja-JP"/>
        </w:rPr>
        <w:t>enhancement related UE features and give the following proposals.</w:t>
      </w:r>
    </w:p>
    <w:p w14:paraId="4791033A" w14:textId="560C3A39" w:rsidR="005F0EE2" w:rsidRPr="005F0EE2" w:rsidRDefault="005F0EE2" w:rsidP="005F0EE2">
      <w:pPr>
        <w:spacing w:before="120" w:after="120"/>
        <w:rPr>
          <w:b/>
          <w:bCs/>
          <w:color w:val="000000"/>
          <w:sz w:val="20"/>
          <w:szCs w:val="20"/>
          <w:lang w:val="en-US"/>
        </w:rPr>
      </w:pPr>
      <w:r w:rsidRPr="00547FE7">
        <w:rPr>
          <w:b/>
          <w:bCs/>
          <w:color w:val="000000"/>
          <w:sz w:val="20"/>
          <w:szCs w:val="20"/>
          <w:lang w:val="en-US"/>
        </w:rPr>
        <w:t xml:space="preserve">Proposal 1: </w:t>
      </w:r>
      <w:r>
        <w:rPr>
          <w:b/>
          <w:bCs/>
          <w:color w:val="000000"/>
          <w:sz w:val="20"/>
          <w:szCs w:val="20"/>
          <w:lang w:val="en-US"/>
        </w:rPr>
        <w:t xml:space="preserve">The report type of </w:t>
      </w:r>
      <w:r>
        <w:rPr>
          <w:rFonts w:eastAsia="SimSun"/>
          <w:b/>
          <w:bCs/>
          <w:color w:val="000000"/>
          <w:sz w:val="20"/>
          <w:szCs w:val="20"/>
        </w:rPr>
        <w:t>FGs 30-4a/b/c/d/e/f/g/h is per band</w:t>
      </w:r>
      <w:r>
        <w:rPr>
          <w:rFonts w:eastAsia="SimSun"/>
          <w:b/>
          <w:bCs/>
          <w:color w:val="000000"/>
          <w:sz w:val="20"/>
          <w:szCs w:val="20"/>
          <w:lang w:val="en-US"/>
        </w:rPr>
        <w:t>.</w:t>
      </w:r>
    </w:p>
    <w:p w14:paraId="2B14E52B" w14:textId="3059FE5F" w:rsidR="006C362D" w:rsidRPr="00547FE7" w:rsidRDefault="006C362D" w:rsidP="008673A7">
      <w:pPr>
        <w:spacing w:before="120" w:after="120"/>
        <w:rPr>
          <w:b/>
          <w:bCs/>
          <w:color w:val="000000"/>
          <w:sz w:val="20"/>
          <w:szCs w:val="20"/>
          <w:lang w:val="en-US"/>
        </w:rPr>
      </w:pPr>
      <w:r>
        <w:rPr>
          <w:b/>
          <w:bCs/>
          <w:color w:val="000000"/>
          <w:sz w:val="20"/>
          <w:szCs w:val="20"/>
          <w:lang w:val="en-US"/>
        </w:rPr>
        <w:t>Proposal2: No need to differentiate FDD/TDD and FR1/FR2 for FGs</w:t>
      </w:r>
      <w:r>
        <w:rPr>
          <w:rFonts w:eastAsia="SimSun"/>
          <w:b/>
          <w:bCs/>
          <w:color w:val="000000"/>
          <w:sz w:val="20"/>
          <w:szCs w:val="20"/>
        </w:rPr>
        <w:t>30-4a/b/c/d/e/f/g/h</w:t>
      </w:r>
      <w:r>
        <w:rPr>
          <w:rFonts w:eastAsia="SimSun"/>
          <w:b/>
          <w:bCs/>
          <w:color w:val="000000"/>
          <w:sz w:val="20"/>
          <w:szCs w:val="20"/>
          <w:lang w:val="en-US"/>
        </w:rPr>
        <w:t>.</w:t>
      </w:r>
    </w:p>
    <w:p w14:paraId="5F1BBD98" w14:textId="1F4D263C" w:rsidR="00E246BE" w:rsidRPr="00F04CEF" w:rsidRDefault="0017048A" w:rsidP="00F04CEF">
      <w:pPr>
        <w:pStyle w:val="Heading1"/>
        <w:rPr>
          <w:sz w:val="20"/>
        </w:rPr>
      </w:pPr>
      <w:r w:rsidRPr="00BD5CC8">
        <w:rPr>
          <w:sz w:val="20"/>
        </w:rPr>
        <w:t>References</w:t>
      </w:r>
      <w:bookmarkStart w:id="2" w:name="_Ref523487962"/>
      <w:bookmarkStart w:id="3" w:name="_Ref523653838"/>
    </w:p>
    <w:p w14:paraId="76DE3E05" w14:textId="2B87BF59" w:rsidR="00E246BE" w:rsidRDefault="00E246BE" w:rsidP="00E246BE">
      <w:pPr>
        <w:widowControl w:val="0"/>
        <w:numPr>
          <w:ilvl w:val="0"/>
          <w:numId w:val="5"/>
        </w:numPr>
        <w:jc w:val="both"/>
        <w:rPr>
          <w:sz w:val="20"/>
          <w:szCs w:val="20"/>
          <w:lang w:val="en-US"/>
        </w:rPr>
      </w:pPr>
      <w:r w:rsidRPr="00C2092C">
        <w:rPr>
          <w:sz w:val="20"/>
          <w:szCs w:val="20"/>
          <w:lang w:val="en-US"/>
        </w:rPr>
        <w:t>R1-2205607</w:t>
      </w:r>
      <w:r>
        <w:rPr>
          <w:sz w:val="20"/>
          <w:szCs w:val="20"/>
          <w:lang w:val="en-US"/>
        </w:rPr>
        <w:t>, “</w:t>
      </w:r>
      <w:r w:rsidRPr="00C2092C">
        <w:rPr>
          <w:sz w:val="20"/>
          <w:szCs w:val="20"/>
          <w:lang w:val="en-US"/>
        </w:rPr>
        <w:t>Updated RAN1 UE features list for Rel-17 NR after RAN1 #109-e Week2</w:t>
      </w:r>
      <w:r>
        <w:rPr>
          <w:sz w:val="20"/>
          <w:szCs w:val="20"/>
          <w:lang w:val="en-US"/>
        </w:rPr>
        <w:t xml:space="preserve">”, </w:t>
      </w:r>
      <w:r w:rsidRPr="00C2092C">
        <w:rPr>
          <w:sz w:val="20"/>
          <w:szCs w:val="20"/>
          <w:lang w:val="en-US"/>
        </w:rPr>
        <w:t>Moderators (AT&amp;T, NTT DOCOMO, INC.)</w:t>
      </w:r>
    </w:p>
    <w:p w14:paraId="787845FF" w14:textId="085A2E2B" w:rsidR="00920273" w:rsidRPr="006C362D" w:rsidRDefault="00E21FBB" w:rsidP="006C362D">
      <w:pPr>
        <w:widowControl w:val="0"/>
        <w:numPr>
          <w:ilvl w:val="0"/>
          <w:numId w:val="5"/>
        </w:numPr>
        <w:jc w:val="both"/>
        <w:rPr>
          <w:sz w:val="20"/>
          <w:szCs w:val="20"/>
          <w:lang w:val="en-GB"/>
        </w:rPr>
      </w:pPr>
      <w:r w:rsidRPr="0011322C">
        <w:rPr>
          <w:sz w:val="20"/>
          <w:szCs w:val="20"/>
          <w:lang w:val="en-GB"/>
        </w:rPr>
        <w:t>R1-2205715</w:t>
      </w:r>
      <w:r>
        <w:rPr>
          <w:sz w:val="20"/>
          <w:szCs w:val="20"/>
          <w:lang w:val="en-GB"/>
        </w:rPr>
        <w:t>, “</w:t>
      </w:r>
      <w:r w:rsidRPr="0011322C">
        <w:rPr>
          <w:bCs/>
          <w:sz w:val="20"/>
          <w:szCs w:val="20"/>
          <w:lang w:val="en-GB"/>
        </w:rPr>
        <w:t>Reply LS to RAN1/RAN2 on DMRS bundling</w:t>
      </w:r>
      <w:r>
        <w:rPr>
          <w:sz w:val="20"/>
          <w:szCs w:val="20"/>
          <w:lang w:val="en-GB"/>
        </w:rPr>
        <w:t>”, RAN4</w:t>
      </w:r>
    </w:p>
    <w:bookmarkEnd w:id="2"/>
    <w:bookmarkEnd w:id="3"/>
    <w:p w14:paraId="0BFB993D" w14:textId="4E326777" w:rsidR="00C40EA3" w:rsidRDefault="00C40EA3" w:rsidP="00470607">
      <w:pPr>
        <w:widowControl w:val="0"/>
        <w:jc w:val="both"/>
        <w:rPr>
          <w:sz w:val="20"/>
          <w:szCs w:val="20"/>
          <w:highlight w:val="yellow"/>
          <w:lang w:val="en-US"/>
        </w:rPr>
      </w:pPr>
    </w:p>
    <w:p w14:paraId="20F9542C" w14:textId="77777777" w:rsidR="00D96078" w:rsidRPr="00903428" w:rsidRDefault="00D96078" w:rsidP="00470607">
      <w:pPr>
        <w:widowControl w:val="0"/>
        <w:jc w:val="both"/>
        <w:rPr>
          <w:sz w:val="20"/>
          <w:szCs w:val="20"/>
          <w:highlight w:val="yellow"/>
          <w:lang w:val="en-US"/>
        </w:rPr>
      </w:pPr>
    </w:p>
    <w:sectPr w:rsidR="00D96078" w:rsidRPr="00903428" w:rsidSect="00D011E0">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61AA" w14:textId="77777777" w:rsidR="00706C02" w:rsidRDefault="00706C02">
      <w:r>
        <w:separator/>
      </w:r>
    </w:p>
  </w:endnote>
  <w:endnote w:type="continuationSeparator" w:id="0">
    <w:p w14:paraId="5984ADE3" w14:textId="77777777" w:rsidR="00706C02" w:rsidRDefault="00706C02">
      <w:r>
        <w:continuationSeparator/>
      </w:r>
    </w:p>
  </w:endnote>
  <w:endnote w:type="continuationNotice" w:id="1">
    <w:p w14:paraId="418A6AE7" w14:textId="77777777" w:rsidR="00706C02" w:rsidRDefault="00706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F233" w14:textId="77777777" w:rsidR="00706C02" w:rsidRDefault="00706C02">
      <w:r>
        <w:separator/>
      </w:r>
    </w:p>
  </w:footnote>
  <w:footnote w:type="continuationSeparator" w:id="0">
    <w:p w14:paraId="50A92707" w14:textId="77777777" w:rsidR="00706C02" w:rsidRDefault="00706C02">
      <w:r>
        <w:continuationSeparator/>
      </w:r>
    </w:p>
  </w:footnote>
  <w:footnote w:type="continuationNotice" w:id="1">
    <w:p w14:paraId="4D150339" w14:textId="77777777" w:rsidR="00706C02" w:rsidRDefault="00706C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952FEF"/>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3E3D55"/>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F516B3"/>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E24DB5"/>
    <w:multiLevelType w:val="hybridMultilevel"/>
    <w:tmpl w:val="0052A88A"/>
    <w:lvl w:ilvl="0" w:tplc="E5B86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D592D"/>
    <w:multiLevelType w:val="hybridMultilevel"/>
    <w:tmpl w:val="E1028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411244394">
    <w:abstractNumId w:val="10"/>
  </w:num>
  <w:num w:numId="2" w16cid:durableId="1082215666">
    <w:abstractNumId w:val="8"/>
  </w:num>
  <w:num w:numId="3" w16cid:durableId="1577283262">
    <w:abstractNumId w:val="12"/>
  </w:num>
  <w:num w:numId="4" w16cid:durableId="1360468202">
    <w:abstractNumId w:val="1"/>
  </w:num>
  <w:num w:numId="5" w16cid:durableId="13266632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9988917">
    <w:abstractNumId w:val="31"/>
  </w:num>
  <w:num w:numId="7" w16cid:durableId="1139029147">
    <w:abstractNumId w:val="23"/>
  </w:num>
  <w:num w:numId="8" w16cid:durableId="1029337039">
    <w:abstractNumId w:val="14"/>
  </w:num>
  <w:num w:numId="9" w16cid:durableId="1884561779">
    <w:abstractNumId w:val="0"/>
  </w:num>
  <w:num w:numId="10" w16cid:durableId="1101144863">
    <w:abstractNumId w:val="16"/>
  </w:num>
  <w:num w:numId="11" w16cid:durableId="1470703076">
    <w:abstractNumId w:val="4"/>
  </w:num>
  <w:num w:numId="12" w16cid:durableId="1508864371">
    <w:abstractNumId w:val="6"/>
  </w:num>
  <w:num w:numId="13" w16cid:durableId="1033920418">
    <w:abstractNumId w:val="24"/>
  </w:num>
  <w:num w:numId="14" w16cid:durableId="1827479005">
    <w:abstractNumId w:val="2"/>
  </w:num>
  <w:num w:numId="15" w16cid:durableId="1497265187">
    <w:abstractNumId w:val="11"/>
  </w:num>
  <w:num w:numId="16" w16cid:durableId="1258758098">
    <w:abstractNumId w:val="9"/>
  </w:num>
  <w:num w:numId="17" w16cid:durableId="1419253845">
    <w:abstractNumId w:val="18"/>
  </w:num>
  <w:num w:numId="18" w16cid:durableId="1915163041">
    <w:abstractNumId w:val="17"/>
  </w:num>
  <w:num w:numId="19" w16cid:durableId="691304217">
    <w:abstractNumId w:val="13"/>
  </w:num>
  <w:num w:numId="20" w16cid:durableId="1845388742">
    <w:abstractNumId w:val="20"/>
  </w:num>
  <w:num w:numId="21" w16cid:durableId="1447041760">
    <w:abstractNumId w:val="30"/>
  </w:num>
  <w:num w:numId="22" w16cid:durableId="1900632827">
    <w:abstractNumId w:val="25"/>
  </w:num>
  <w:num w:numId="23" w16cid:durableId="698431131">
    <w:abstractNumId w:val="29"/>
  </w:num>
  <w:num w:numId="24" w16cid:durableId="1392922314">
    <w:abstractNumId w:val="22"/>
  </w:num>
  <w:num w:numId="25" w16cid:durableId="709648484">
    <w:abstractNumId w:val="15"/>
  </w:num>
  <w:num w:numId="26" w16cid:durableId="1719818173">
    <w:abstractNumId w:val="7"/>
  </w:num>
  <w:num w:numId="27" w16cid:durableId="524750986">
    <w:abstractNumId w:val="27"/>
  </w:num>
  <w:num w:numId="28" w16cid:durableId="2099792419">
    <w:abstractNumId w:val="21"/>
  </w:num>
  <w:num w:numId="29" w16cid:durableId="773013618">
    <w:abstractNumId w:val="19"/>
  </w:num>
  <w:num w:numId="30" w16cid:durableId="7290843">
    <w:abstractNumId w:val="26"/>
  </w:num>
  <w:num w:numId="31" w16cid:durableId="116798560">
    <w:abstractNumId w:val="28"/>
  </w:num>
  <w:num w:numId="32" w16cid:durableId="181221116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98"/>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AC4"/>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AF4"/>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8AF"/>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904"/>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0BD4"/>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2F"/>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764"/>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BD"/>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EE"/>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2DC"/>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8E4"/>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49"/>
    <w:rsid w:val="002245DB"/>
    <w:rsid w:val="00224A00"/>
    <w:rsid w:val="00224A01"/>
    <w:rsid w:val="00224A65"/>
    <w:rsid w:val="00224A9B"/>
    <w:rsid w:val="00224C25"/>
    <w:rsid w:val="00224DDC"/>
    <w:rsid w:val="002250D0"/>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21D"/>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2E3"/>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AE9"/>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6CB"/>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6B92"/>
    <w:rsid w:val="002E7321"/>
    <w:rsid w:val="002E7894"/>
    <w:rsid w:val="002E7C45"/>
    <w:rsid w:val="002F0045"/>
    <w:rsid w:val="002F00F0"/>
    <w:rsid w:val="002F025B"/>
    <w:rsid w:val="002F0513"/>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4EC"/>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215"/>
    <w:rsid w:val="00312D94"/>
    <w:rsid w:val="003131CB"/>
    <w:rsid w:val="003137A0"/>
    <w:rsid w:val="003137ED"/>
    <w:rsid w:val="00313B5E"/>
    <w:rsid w:val="00313C4F"/>
    <w:rsid w:val="00313FBA"/>
    <w:rsid w:val="00314122"/>
    <w:rsid w:val="00314176"/>
    <w:rsid w:val="003141C2"/>
    <w:rsid w:val="00314629"/>
    <w:rsid w:val="00314B7B"/>
    <w:rsid w:val="00314BF4"/>
    <w:rsid w:val="00314C08"/>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7F4"/>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EF5"/>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39"/>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79A"/>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51"/>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05"/>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1CC"/>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6B2"/>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1"/>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2C7D"/>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9EB"/>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A0"/>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4C"/>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E4B"/>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C3"/>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58"/>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CFB"/>
    <w:rsid w:val="004F2D47"/>
    <w:rsid w:val="004F2DBE"/>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1B7"/>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6DB"/>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052"/>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47FE7"/>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3E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3FD"/>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F64"/>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40"/>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1912"/>
    <w:rsid w:val="005D20FC"/>
    <w:rsid w:val="005D241F"/>
    <w:rsid w:val="005D24A2"/>
    <w:rsid w:val="005D26D7"/>
    <w:rsid w:val="005D2A49"/>
    <w:rsid w:val="005D2B7E"/>
    <w:rsid w:val="005D2EE8"/>
    <w:rsid w:val="005D30B2"/>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C5D"/>
    <w:rsid w:val="005E7E29"/>
    <w:rsid w:val="005E7F1A"/>
    <w:rsid w:val="005F031E"/>
    <w:rsid w:val="005F0324"/>
    <w:rsid w:val="005F0362"/>
    <w:rsid w:val="005F0B4C"/>
    <w:rsid w:val="005F0B53"/>
    <w:rsid w:val="005F0C46"/>
    <w:rsid w:val="005F0D77"/>
    <w:rsid w:val="005F0EE2"/>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7A8"/>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D87"/>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812"/>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5D6"/>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6F8"/>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62D"/>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CD1"/>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82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09A"/>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C02"/>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E6"/>
    <w:rsid w:val="00726D44"/>
    <w:rsid w:val="00726EAA"/>
    <w:rsid w:val="00727E9F"/>
    <w:rsid w:val="00730302"/>
    <w:rsid w:val="00730E1C"/>
    <w:rsid w:val="00731088"/>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9F7"/>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F1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0D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0C"/>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5EE3"/>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AF"/>
    <w:rsid w:val="00803A20"/>
    <w:rsid w:val="00803E2E"/>
    <w:rsid w:val="008041E1"/>
    <w:rsid w:val="00804437"/>
    <w:rsid w:val="00804867"/>
    <w:rsid w:val="00804B2F"/>
    <w:rsid w:val="00804C3F"/>
    <w:rsid w:val="00805227"/>
    <w:rsid w:val="00805365"/>
    <w:rsid w:val="0080569D"/>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2D9"/>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09A9"/>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3A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363"/>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15"/>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34"/>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428"/>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2FC0"/>
    <w:rsid w:val="00913142"/>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6EBD"/>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47AA2"/>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451"/>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45C7"/>
    <w:rsid w:val="0098511E"/>
    <w:rsid w:val="009852B3"/>
    <w:rsid w:val="009852E3"/>
    <w:rsid w:val="0098541D"/>
    <w:rsid w:val="00985426"/>
    <w:rsid w:val="00985657"/>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4EE"/>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28"/>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613"/>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04"/>
    <w:rsid w:val="00A336E0"/>
    <w:rsid w:val="00A33C3D"/>
    <w:rsid w:val="00A33C9E"/>
    <w:rsid w:val="00A33CFD"/>
    <w:rsid w:val="00A34A25"/>
    <w:rsid w:val="00A34CFA"/>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47D67"/>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3A7"/>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447"/>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24C"/>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5E22"/>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10"/>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89"/>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06D"/>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FA6"/>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721"/>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556"/>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0BC"/>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D4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1FF1"/>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5D1"/>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5A2"/>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201"/>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39"/>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193"/>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284"/>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563"/>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C5D"/>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39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4F7"/>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9EA"/>
    <w:rsid w:val="00C96A19"/>
    <w:rsid w:val="00C96FE0"/>
    <w:rsid w:val="00C973E2"/>
    <w:rsid w:val="00C975B2"/>
    <w:rsid w:val="00C97AF1"/>
    <w:rsid w:val="00CA09AA"/>
    <w:rsid w:val="00CA0BAF"/>
    <w:rsid w:val="00CA0DD0"/>
    <w:rsid w:val="00CA113D"/>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1E0"/>
    <w:rsid w:val="00D017EE"/>
    <w:rsid w:val="00D0182B"/>
    <w:rsid w:val="00D0186E"/>
    <w:rsid w:val="00D01B83"/>
    <w:rsid w:val="00D01C73"/>
    <w:rsid w:val="00D01E6B"/>
    <w:rsid w:val="00D02369"/>
    <w:rsid w:val="00D02C36"/>
    <w:rsid w:val="00D02E17"/>
    <w:rsid w:val="00D03695"/>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978"/>
    <w:rsid w:val="00D24DA3"/>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CE1"/>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AC"/>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6B0"/>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11D"/>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78D"/>
    <w:rsid w:val="00DB39DE"/>
    <w:rsid w:val="00DB3D52"/>
    <w:rsid w:val="00DB40C0"/>
    <w:rsid w:val="00DB42C3"/>
    <w:rsid w:val="00DB4322"/>
    <w:rsid w:val="00DB4F9D"/>
    <w:rsid w:val="00DB5512"/>
    <w:rsid w:val="00DB5863"/>
    <w:rsid w:val="00DB5884"/>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13B"/>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BB"/>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6BE"/>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D67"/>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0D06"/>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69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6DD"/>
    <w:rsid w:val="00EF5861"/>
    <w:rsid w:val="00EF5B7C"/>
    <w:rsid w:val="00EF6141"/>
    <w:rsid w:val="00EF650F"/>
    <w:rsid w:val="00EF691C"/>
    <w:rsid w:val="00EF693B"/>
    <w:rsid w:val="00EF6BC3"/>
    <w:rsid w:val="00EF6EF5"/>
    <w:rsid w:val="00EF73ED"/>
    <w:rsid w:val="00EF7583"/>
    <w:rsid w:val="00EF7614"/>
    <w:rsid w:val="00EF767A"/>
    <w:rsid w:val="00EF7878"/>
    <w:rsid w:val="00EF7A3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CEF"/>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6FDC"/>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04D"/>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543"/>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712"/>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B74"/>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EEF"/>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8" w:uiPriority="39"/>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Bullets">
    <w:name w:val="Bullets"/>
    <w:basedOn w:val="Normal"/>
    <w:autoRedefine/>
    <w:uiPriority w:val="99"/>
    <w:qFormat/>
    <w:rsid w:val="00903428"/>
    <w:pPr>
      <w:numPr>
        <w:numId w:val="22"/>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903428"/>
    <w:pPr>
      <w:numPr>
        <w:ilvl w:val="1"/>
        <w:numId w:val="22"/>
      </w:numPr>
    </w:pPr>
    <w:rPr>
      <w:rFonts w:ascii="Times" w:eastAsia="Batang" w:hAnsi="Times"/>
      <w:sz w:val="20"/>
      <w:lang w:val="en-GB" w:eastAsia="en-US"/>
    </w:rPr>
  </w:style>
  <w:style w:type="paragraph" w:customStyle="1" w:styleId="bullet3">
    <w:name w:val="bullet3"/>
    <w:basedOn w:val="Normal"/>
    <w:uiPriority w:val="99"/>
    <w:qFormat/>
    <w:rsid w:val="00903428"/>
    <w:pPr>
      <w:numPr>
        <w:ilvl w:val="2"/>
        <w:numId w:val="22"/>
      </w:numPr>
      <w:ind w:hanging="180"/>
    </w:pPr>
    <w:rPr>
      <w:rFonts w:ascii="Times" w:eastAsia="Batang" w:hAnsi="Times"/>
      <w:sz w:val="20"/>
      <w:lang w:val="en-GB" w:eastAsia="en-US"/>
    </w:rPr>
  </w:style>
  <w:style w:type="paragraph" w:customStyle="1" w:styleId="bullet4">
    <w:name w:val="bullet4"/>
    <w:basedOn w:val="Normal"/>
    <w:uiPriority w:val="99"/>
    <w:qFormat/>
    <w:rsid w:val="00903428"/>
    <w:pPr>
      <w:numPr>
        <w:ilvl w:val="3"/>
        <w:numId w:val="22"/>
      </w:numPr>
    </w:pPr>
    <w:rPr>
      <w:rFonts w:ascii="Times" w:eastAsia="Batang" w:hAnsi="Times"/>
      <w:sz w:val="20"/>
      <w:lang w:val="en-GB" w:eastAsia="en-US"/>
    </w:rPr>
  </w:style>
  <w:style w:type="paragraph" w:customStyle="1" w:styleId="Observation">
    <w:name w:val="Observation"/>
    <w:basedOn w:val="Normal"/>
    <w:qFormat/>
    <w:rsid w:val="00633D87"/>
    <w:pPr>
      <w:widowControl w:val="0"/>
      <w:numPr>
        <w:numId w:val="28"/>
      </w:numPr>
      <w:tabs>
        <w:tab w:val="left" w:pos="1304"/>
        <w:tab w:val="left" w:pos="1701"/>
      </w:tabs>
      <w:spacing w:afterLines="50" w:after="120" w:line="259" w:lineRule="auto"/>
      <w:ind w:left="1701" w:hanging="1701"/>
      <w:jc w:val="both"/>
    </w:pPr>
    <w:rPr>
      <w:rFonts w:ascii="Arial" w:eastAsiaTheme="minorEastAsia" w:hAnsi="Arial" w:cstheme="minorBidi"/>
      <w:b/>
      <w:bCs/>
      <w:kern w:val="2"/>
      <w:sz w:val="21"/>
      <w:szCs w:val="22"/>
      <w:lang w:val="en-US" w:eastAsia="ja-JP"/>
    </w:rPr>
  </w:style>
  <w:style w:type="paragraph" w:customStyle="1" w:styleId="xmsonormal">
    <w:name w:val="xmsonormal"/>
    <w:basedOn w:val="Normal"/>
    <w:rsid w:val="005E7C5D"/>
    <w:pPr>
      <w:spacing w:before="100" w:beforeAutospacing="1" w:after="100" w:afterAutospacing="1"/>
    </w:pPr>
  </w:style>
  <w:style w:type="character" w:customStyle="1" w:styleId="xapple-converted-space">
    <w:name w:val="xapple-converted-space"/>
    <w:basedOn w:val="DefaultParagraphFont"/>
    <w:rsid w:val="005E7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4138220">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2103887">
      <w:bodyDiv w:val="1"/>
      <w:marLeft w:val="0"/>
      <w:marRight w:val="0"/>
      <w:marTop w:val="0"/>
      <w:marBottom w:val="0"/>
      <w:divBdr>
        <w:top w:val="none" w:sz="0" w:space="0" w:color="auto"/>
        <w:left w:val="none" w:sz="0" w:space="0" w:color="auto"/>
        <w:bottom w:val="none" w:sz="0" w:space="0" w:color="auto"/>
        <w:right w:val="none" w:sz="0" w:space="0" w:color="auto"/>
      </w:divBdr>
      <w:divsChild>
        <w:div w:id="1273197900">
          <w:marLeft w:val="0"/>
          <w:marRight w:val="0"/>
          <w:marTop w:val="0"/>
          <w:marBottom w:val="0"/>
          <w:divBdr>
            <w:top w:val="none" w:sz="0" w:space="0" w:color="auto"/>
            <w:left w:val="none" w:sz="0" w:space="0" w:color="auto"/>
            <w:bottom w:val="none" w:sz="0" w:space="0" w:color="auto"/>
            <w:right w:val="none" w:sz="0" w:space="0" w:color="auto"/>
          </w:divBdr>
        </w:div>
        <w:div w:id="484129763">
          <w:marLeft w:val="0"/>
          <w:marRight w:val="0"/>
          <w:marTop w:val="0"/>
          <w:marBottom w:val="0"/>
          <w:divBdr>
            <w:top w:val="none" w:sz="0" w:space="0" w:color="auto"/>
            <w:left w:val="none" w:sz="0" w:space="0" w:color="auto"/>
            <w:bottom w:val="none" w:sz="0" w:space="0" w:color="auto"/>
            <w:right w:val="none" w:sz="0" w:space="0" w:color="auto"/>
          </w:divBdr>
        </w:div>
      </w:divsChild>
    </w:div>
    <w:div w:id="45687618">
      <w:bodyDiv w:val="1"/>
      <w:marLeft w:val="0"/>
      <w:marRight w:val="0"/>
      <w:marTop w:val="0"/>
      <w:marBottom w:val="0"/>
      <w:divBdr>
        <w:top w:val="none" w:sz="0" w:space="0" w:color="auto"/>
        <w:left w:val="none" w:sz="0" w:space="0" w:color="auto"/>
        <w:bottom w:val="none" w:sz="0" w:space="0" w:color="auto"/>
        <w:right w:val="none" w:sz="0" w:space="0" w:color="auto"/>
      </w:divBdr>
      <w:divsChild>
        <w:div w:id="2140028500">
          <w:marLeft w:val="0"/>
          <w:marRight w:val="0"/>
          <w:marTop w:val="0"/>
          <w:marBottom w:val="0"/>
          <w:divBdr>
            <w:top w:val="none" w:sz="0" w:space="0" w:color="auto"/>
            <w:left w:val="none" w:sz="0" w:space="0" w:color="auto"/>
            <w:bottom w:val="none" w:sz="0" w:space="0" w:color="auto"/>
            <w:right w:val="none" w:sz="0" w:space="0" w:color="auto"/>
          </w:divBdr>
        </w:div>
        <w:div w:id="1126198423">
          <w:marLeft w:val="0"/>
          <w:marRight w:val="0"/>
          <w:marTop w:val="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9039971">
      <w:bodyDiv w:val="1"/>
      <w:marLeft w:val="0"/>
      <w:marRight w:val="0"/>
      <w:marTop w:val="0"/>
      <w:marBottom w:val="0"/>
      <w:divBdr>
        <w:top w:val="none" w:sz="0" w:space="0" w:color="auto"/>
        <w:left w:val="none" w:sz="0" w:space="0" w:color="auto"/>
        <w:bottom w:val="none" w:sz="0" w:space="0" w:color="auto"/>
        <w:right w:val="none" w:sz="0" w:space="0" w:color="auto"/>
      </w:divBdr>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6394223">
      <w:bodyDiv w:val="1"/>
      <w:marLeft w:val="0"/>
      <w:marRight w:val="0"/>
      <w:marTop w:val="0"/>
      <w:marBottom w:val="0"/>
      <w:divBdr>
        <w:top w:val="none" w:sz="0" w:space="0" w:color="auto"/>
        <w:left w:val="none" w:sz="0" w:space="0" w:color="auto"/>
        <w:bottom w:val="none" w:sz="0" w:space="0" w:color="auto"/>
        <w:right w:val="none" w:sz="0" w:space="0" w:color="auto"/>
      </w:divBdr>
    </w:div>
    <w:div w:id="371003118">
      <w:bodyDiv w:val="1"/>
      <w:marLeft w:val="0"/>
      <w:marRight w:val="0"/>
      <w:marTop w:val="0"/>
      <w:marBottom w:val="0"/>
      <w:divBdr>
        <w:top w:val="none" w:sz="0" w:space="0" w:color="auto"/>
        <w:left w:val="none" w:sz="0" w:space="0" w:color="auto"/>
        <w:bottom w:val="none" w:sz="0" w:space="0" w:color="auto"/>
        <w:right w:val="none" w:sz="0" w:space="0" w:color="auto"/>
      </w:divBdr>
      <w:divsChild>
        <w:div w:id="238099159">
          <w:marLeft w:val="0"/>
          <w:marRight w:val="0"/>
          <w:marTop w:val="0"/>
          <w:marBottom w:val="0"/>
          <w:divBdr>
            <w:top w:val="none" w:sz="0" w:space="0" w:color="auto"/>
            <w:left w:val="none" w:sz="0" w:space="0" w:color="auto"/>
            <w:bottom w:val="none" w:sz="0" w:space="0" w:color="auto"/>
            <w:right w:val="none" w:sz="0" w:space="0" w:color="auto"/>
          </w:divBdr>
        </w:div>
        <w:div w:id="1126119609">
          <w:marLeft w:val="0"/>
          <w:marRight w:val="0"/>
          <w:marTop w:val="0"/>
          <w:marBottom w:val="0"/>
          <w:divBdr>
            <w:top w:val="none" w:sz="0" w:space="0" w:color="auto"/>
            <w:left w:val="none" w:sz="0" w:space="0" w:color="auto"/>
            <w:bottom w:val="none" w:sz="0" w:space="0" w:color="auto"/>
            <w:right w:val="none" w:sz="0" w:space="0" w:color="auto"/>
          </w:divBdr>
        </w:div>
        <w:div w:id="648093378">
          <w:marLeft w:val="0"/>
          <w:marRight w:val="0"/>
          <w:marTop w:val="0"/>
          <w:marBottom w:val="0"/>
          <w:divBdr>
            <w:top w:val="none" w:sz="0" w:space="0" w:color="auto"/>
            <w:left w:val="none" w:sz="0" w:space="0" w:color="auto"/>
            <w:bottom w:val="none" w:sz="0" w:space="0" w:color="auto"/>
            <w:right w:val="none" w:sz="0" w:space="0" w:color="auto"/>
          </w:divBdr>
        </w:div>
      </w:divsChild>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9274782">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675550">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38317180">
      <w:bodyDiv w:val="1"/>
      <w:marLeft w:val="0"/>
      <w:marRight w:val="0"/>
      <w:marTop w:val="0"/>
      <w:marBottom w:val="0"/>
      <w:divBdr>
        <w:top w:val="none" w:sz="0" w:space="0" w:color="auto"/>
        <w:left w:val="none" w:sz="0" w:space="0" w:color="auto"/>
        <w:bottom w:val="none" w:sz="0" w:space="0" w:color="auto"/>
        <w:right w:val="none" w:sz="0" w:space="0" w:color="auto"/>
      </w:divBdr>
      <w:divsChild>
        <w:div w:id="25176987">
          <w:marLeft w:val="0"/>
          <w:marRight w:val="0"/>
          <w:marTop w:val="0"/>
          <w:marBottom w:val="0"/>
          <w:divBdr>
            <w:top w:val="none" w:sz="0" w:space="0" w:color="auto"/>
            <w:left w:val="none" w:sz="0" w:space="0" w:color="auto"/>
            <w:bottom w:val="none" w:sz="0" w:space="0" w:color="auto"/>
            <w:right w:val="none" w:sz="0" w:space="0" w:color="auto"/>
          </w:divBdr>
        </w:div>
        <w:div w:id="2009744021">
          <w:marLeft w:val="0"/>
          <w:marRight w:val="0"/>
          <w:marTop w:val="0"/>
          <w:marBottom w:val="0"/>
          <w:divBdr>
            <w:top w:val="none" w:sz="0" w:space="0" w:color="auto"/>
            <w:left w:val="none" w:sz="0" w:space="0" w:color="auto"/>
            <w:bottom w:val="none" w:sz="0" w:space="0" w:color="auto"/>
            <w:right w:val="none" w:sz="0" w:space="0" w:color="auto"/>
          </w:divBdr>
        </w:div>
        <w:div w:id="1827359520">
          <w:marLeft w:val="0"/>
          <w:marRight w:val="0"/>
          <w:marTop w:val="0"/>
          <w:marBottom w:val="0"/>
          <w:divBdr>
            <w:top w:val="none" w:sz="0" w:space="0" w:color="auto"/>
            <w:left w:val="none" w:sz="0" w:space="0" w:color="auto"/>
            <w:bottom w:val="none" w:sz="0" w:space="0" w:color="auto"/>
            <w:right w:val="none" w:sz="0" w:space="0" w:color="auto"/>
          </w:divBdr>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92605">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712457">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5761252">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268</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52</cp:revision>
  <cp:lastPrinted>2019-08-16T17:50:00Z</cp:lastPrinted>
  <dcterms:created xsi:type="dcterms:W3CDTF">2022-01-10T10:40:00Z</dcterms:created>
  <dcterms:modified xsi:type="dcterms:W3CDTF">2022-08-12T23:21:00Z</dcterms:modified>
  <cp:category/>
</cp:coreProperties>
</file>